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540" w:right="90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ДОГОВОР № __</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36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г. Санкт-Петербург                                                                                                                                 .  .2020 года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794"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«Экологические цифры»,</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именуемое в дальнейшем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Покупатель</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 лице Генерального директора Игнатьева Филиппа Викторовича, действующего на основании Устава, Лицензии №(78)–5040-СТ от 09 января 2018 г, с одной стороны и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w:t>
      </w:r>
      <w:r w:rsidDel="00000000" w:rsidR="00000000" w:rsidRPr="00000000">
        <w:rPr>
          <w:rFonts w:ascii="Times New Roman" w:cs="Times New Roman" w:eastAsia="Times New Roman" w:hAnsi="Times New Roman"/>
          <w:b w:val="1"/>
          <w:i w:val="0"/>
          <w:smallCaps w:val="0"/>
          <w:strike w:val="0"/>
          <w:color w:val="000000"/>
          <w:sz w:val="18"/>
          <w:szCs w:val="18"/>
          <w:highlight w:val="yellow"/>
          <w:u w:val="none"/>
          <w:vertAlign w:val="baseline"/>
          <w:rtl w:val="0"/>
        </w:rPr>
        <w:t xml:space="preserve">________</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именуемое в дальнейшем «Продавец», в лице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действующего на основании Устава, с другой стороны, заключили настоящий Договор о нижеследующем:</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ПРЕДМЕТ ДОГОВОРА</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Продавец обязуется поставить, а Покупатель принять и оплатить</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отходы, соответствующие ГОСТ 21046-2015 «Нефтепродукты отработанные» и соответствующие установленным для Покупателя лицензионным требованиям (далее по тексту - товар).</w:t>
      </w:r>
    </w:p>
    <w:p w:rsidR="00000000" w:rsidDel="00000000" w:rsidP="00000000" w:rsidRDefault="00000000" w:rsidRPr="00000000" w14:paraId="00000008">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720" w:right="900" w:firstLine="414.00000000000006"/>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Определение Товара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код по ФККО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134"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Поставка товара осуществляется отдельными партиями по мере накопления. Сроки поставки и количество поставляемого товара для каждой партии согласуются Сторонами дополнительно на основании извещения Продавца о готовности товара к отгрузке.</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ДОСТАВКА ТОВАРА</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Доставка товара осуществляется на условиях самовывоза (выборкой) специализированным транспортом Покупателя с территории Продавца, если иного дополнительно не согласовано Сторонами. </w:t>
      </w:r>
    </w:p>
    <w:p w:rsidR="00000000" w:rsidDel="00000000" w:rsidP="00000000" w:rsidRDefault="00000000" w:rsidRPr="00000000" w14:paraId="0000000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Факт передачи Покупателю товара оформляется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w:t>
      </w:r>
      <w:r w:rsidDel="00000000" w:rsidR="00000000" w:rsidRPr="00000000">
        <w:rPr>
          <w:sz w:val="18"/>
          <w:szCs w:val="18"/>
          <w:rtl w:val="0"/>
        </w:rPr>
        <w:t xml:space="preserve">е</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мопередаточным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актом. Одновременно с передачей товара, Продавец передает все относящиеся к товару документы. Продавец обязан передать Покупателю паспорт опасного отхода на каждый вид отходов, поставляемый по настоящему договору в течение 5 (пяти) дней с момента подписания настоящего договора.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СТОИМОСТЬ ТОВАРА И ПОРЯДОК  РАСЧЕТОВ</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Стоимость товара определяется согласно Приложению № 1.</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случае принятия Покупателем товара с превышением согласованных показателей содержания воды, цена товара подлежит перерасчету, исходя из удельного объема соответствующего вида товара по ГОСТ 21046-2015 «Нефтепродукты отработанные» за минусом воды и механических примесей сверх нормы.</w:t>
        <w:tab/>
        <w:t xml:space="preserve"> </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Оплата товара производится Покупателем в течение 5 (пяти) дней по факту поставки на основании счета Продавца. Все расчеты по Договору производятся безналичными платежами в валюте Российской Федерации.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ОБЯЗАТЕЛЬСТВА СТОРОН</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4.1. Продавец обязан:</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4.1.1.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Известить Покупателя посредством телефонной или факсимильной связи о готовности товара к отгрузке не позднее 2 (двух) дней до передачи товара перевозчику (Покупателю), с указанием номенклатуры и количества товара. При этом, извещение переданное посредством телефонной связи фиксируется в журнале заявок Покупателя.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4.1.2.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Обеспечить необходимое качество товара, в соответствии с условиями настоящего Договора и Заявкой Продавца.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4.1.3.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Исполнять иные обязанности, предусмотренные законом, Договором и вытекающие из существа обязательства.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Покупатель</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обязан:</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Уплатить Продавцу согласованную сторонами стоимость товара.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Обеспечить при поступлении товара производство его химического анализа за свой счёт, о выявленном несоответствии  товара условиям настоящего Договора, Покупатель уведомляет Продавца в течение 2 (двух) рабочих дней  с момента  получения данных лабораторных исследований, подтверждающих несоответствие товара требованиям Договора, при этом Покупатель обязан обеспечить раздельное хранение товара.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 Предоставить акт передачи на утилизацию в месячный срок. (Приложение № 2)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ТРЕБОВАНИЯ, ПРЕДЪЯВЛЯЕМЫЕ К ТОВАРУ. ПРИЕМКА ТОВАРА</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Требования к товару –  соответствие ГОСТ 21046-2015 «Нефтепродукты отработанные». Стороны вправе дополнительно согласовать  стоимость и порядок приема товара, не соответствующего установленным Договором требованиям, для его последующей утилизации (переработки) путем заключения отдельного письменного соглашения.</w:t>
      </w:r>
    </w:p>
    <w:p w:rsidR="00000000" w:rsidDel="00000000" w:rsidP="00000000" w:rsidRDefault="00000000" w:rsidRPr="00000000" w14:paraId="00000021">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Право собственности на товар, а также риск случайной гибели и случайного повреждения товара переходит к Покупателю с момента исполнения Продавцом обязательств по поставке товара. </w:t>
      </w:r>
    </w:p>
    <w:p w:rsidR="00000000" w:rsidDel="00000000" w:rsidP="00000000" w:rsidRDefault="00000000" w:rsidRPr="00000000" w14:paraId="00000022">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Обязательства Продавца по передаче товара Покупателю полагаются исполненными с момента вручения товара Покупателю, что оформляется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приемопередаточным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актом.</w:t>
      </w:r>
    </w:p>
    <w:p w:rsidR="00000000" w:rsidDel="00000000" w:rsidP="00000000" w:rsidRDefault="00000000" w:rsidRPr="00000000" w14:paraId="00000023">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Проверка соответствия товара требованиям, установленным настоящим Договором (п. 5.1. Договора), производится в течение 20 (двадцати) дней с момента поступления товара на склад Покупателя. </w:t>
      </w:r>
    </w:p>
    <w:p w:rsidR="00000000" w:rsidDel="00000000" w:rsidP="00000000" w:rsidRDefault="00000000" w:rsidRPr="00000000" w14:paraId="00000024">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Объем (количество)  передаваемого товара определяется на основании измерительных приборов и отражается в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приемопередаточном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акте.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6. ОТВЕТСТВЕННОСТЬ СТОРОН</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неисполнение и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Стороны освобождаются от ответственности за частичное или полное неисполнение обязательств по настоящему Договору, если его невыполнение явилось следствием обстоятельств непреодолимой силы, которые стороны не могли предвидеть, ни предотвратить разумными мерами. При наступлении указанных обстоятельств, Сторона, для которой создалась невозможность исполнения её обязательств по настоящему Договору, должна немедленно письменно известить другую Сторону, приложив соответствующую справку из компетентного государственного органа, подтверждающую начало и срок действия обстоятельств непреодолимой силы.</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 СРОК ДЕЙСТВИЯ ДОГОВОРА</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540" w:right="900" w:hanging="54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7.1.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Договор вступает в силу с момента подписания</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Сторонами</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Срок действия Договора до «31» декабря </w:t>
      </w:r>
      <w:r w:rsidDel="00000000" w:rsidR="00000000" w:rsidRPr="00000000">
        <w:rPr>
          <w:sz w:val="18"/>
          <w:szCs w:val="18"/>
          <w:rtl w:val="0"/>
        </w:rPr>
        <w:t xml:space="preserve">2021 г</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включительно.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Договор считается продленным на  следующий календарный год, если ни одна из Сторон  не позднее, чем за 30 дней до конца календарного года не заявит о желании прекратить договорные обязательства.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8. ПРОЧИЕ УСЛОВИЯ</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Договор остается в силе в случае изменения реквизитов Сторон, изменения их учредительных документов, включая, но не ограничиваясь, изменением собственника, организационно-правовой формы и др. В случае изменения реквизитов, Стороны обязаны в десятидневный срок уведомить об этом другую Сторону.</w:t>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Настоящий Договор может быть изменен, расторгнут по соглашению Сторон. Каждая Сторона имеет право расторгнуть настоящий Договор, предупредив противоположную Сторону в письменной форме за 30 (тридцати)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прекращения договорных отношений.</w:t>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Любые изменения и дополнения к настоящему Договору действительны при условии их письменного оформления и подписаны уполномоченными на то представителями Сторон.</w:t>
      </w:r>
    </w:p>
    <w:p w:rsidR="00000000" w:rsidDel="00000000" w:rsidP="00000000" w:rsidRDefault="00000000" w:rsidRPr="00000000" w14:paraId="0000003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Настоящий Договор составлен в двух экземплярах, по одному для каждой из Сторон.</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Заявки, приложения, уведомления, письма и иная корреспонденция и документация в связи с заключением, исполнением, изменением или прекращением настоящего Договора направленные посредством почтовой, телеграфной, факсимильной, электронной связи, позволяющей достоверно установить, что документ исходит от Стороны по Договору, имеют полную юридическую силу и полагаются поданными надлежащим образом.</w:t>
      </w:r>
    </w:p>
    <w:p w:rsidR="00000000" w:rsidDel="00000000" w:rsidP="00000000" w:rsidRDefault="00000000" w:rsidRPr="00000000" w14:paraId="0000003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1080"/>
          <w:tab w:val="left" w:pos="4040"/>
        </w:tabs>
        <w:spacing w:after="0" w:before="0" w:line="240" w:lineRule="auto"/>
        <w:ind w:left="54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Все разногласия по настоящему Договору разрешаются в соответствии с действующим законодательством. В случае если споры и разногласия не будут урегулированы путем  переговоров между Сторонами, они подлежат разрешению в Арбитражном суде Санкт-Петербурга и Ленинградской области в соответствии с действующим законодательством Российской Федерации.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360" w:right="90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360" w:right="90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54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680"/>
        <w:tblGridChange w:id="0">
          <w:tblGrid>
            <w:gridCol w:w="4860"/>
            <w:gridCol w:w="4680"/>
          </w:tblGrid>
        </w:tblGridChange>
      </w:tblGrid>
      <w:t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9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Продавец: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 /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90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МП</w:t>
            </w: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980"/>
              </w:tabs>
              <w:spacing w:after="0" w:before="0" w:line="240" w:lineRule="auto"/>
              <w:ind w:left="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980"/>
              </w:tabs>
              <w:spacing w:after="0" w:before="0" w:line="240" w:lineRule="auto"/>
              <w:ind w:left="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Покупатель:</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980"/>
              </w:tabs>
              <w:spacing w:after="0" w:before="0" w:line="240" w:lineRule="auto"/>
              <w:ind w:left="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«Экологические цифры»</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«Экоцифры»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Юридический адрес: 195248, Санкт-Петербург, Уманский переулок, д. 84, лит. З</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Почтовый адрес: 195248, Санкт-Петербург, Уманский переулок, д. 71, лит. А, офис 101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ИНН/КПП 7806169573/780601001</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р/с 40702810432430001101</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ФИЛИАЛ "САНКТ-ПЕТЕРБУРГСКИЙ" АО "АЛЬФА-БАНК" г. САНКТ-ПЕТЕРБУРГ</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к/с 30101810600000000786</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БИК 044030786</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ОГРН 1157847171943</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ОКПО 01240663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ОКАТО 40278000000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Тел. 8-911-925-49-51</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Электронный адрес:  </w:t>
            </w:r>
            <w:hyperlink r:id="rId7">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info@othodopasen.ru</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_________________________/Ф.В. Игнатьев/</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МП</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90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0"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br w:type="textWrapping"/>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900"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Приложение № 1</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к Договору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от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.2020</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г.</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г. Санкт-Петербург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907"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«Экологические цифры»,</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именуемое в дальнейшем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Покупатель</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 лице Генерального директора Игнатьева Филиппа Викторовича, действующего на основании Устава, Лицензии №(78)–5040-СТ от 09 января 2018 г, с одной стороны и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w:t>
      </w:r>
      <w:r w:rsidDel="00000000" w:rsidR="00000000" w:rsidRPr="00000000">
        <w:rPr>
          <w:rFonts w:ascii="Times New Roman" w:cs="Times New Roman" w:eastAsia="Times New Roman" w:hAnsi="Times New Roman"/>
          <w:b w:val="1"/>
          <w:i w:val="0"/>
          <w:smallCaps w:val="0"/>
          <w:strike w:val="0"/>
          <w:color w:val="000000"/>
          <w:sz w:val="18"/>
          <w:szCs w:val="18"/>
          <w:highlight w:val="yellow"/>
          <w:u w:val="none"/>
          <w:vertAlign w:val="baseline"/>
          <w:rtl w:val="0"/>
        </w:rPr>
        <w:t xml:space="preserve">___________</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именуемое в дальнейшем «Продавец», в лице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действующего на основании Устава, с другой стороны, пришли к соглашению о нижеследующем: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Продавец обязуется поставить, а Покупатель принять и оплатить следующий товар: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40"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Наименование товара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40"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Количество товара -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тонн в год. Указанное количество является ориентировочным и может уточняться на основании дополнительного соглашения Сторон.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Срок поставки товара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по факту накопления</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Условия поставки – самовывоз со склада Продавца.</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Стоимость товара составляет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highlight w:val="yellow"/>
          <w:u w:val="none"/>
          <w:vertAlign w:val="baseline"/>
          <w:rtl w:val="0"/>
        </w:rPr>
        <w:t xml:space="preserve">__________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рублей за тонну.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Стоимость товара указана с учетом налога на добавленную стоимость  (НДС).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Настоящее Приложение вступает в силу с момента подписания и  является составной и неотъемлемой частью настоящего Договора.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Во всем остальном, что не предусмотрено настоящим Приложением, Стороны руководствуются законодательством Российской Федерации и условиями настоящего Договора.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Реквизиты Сторон – без изменений.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54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899" w:firstLine="0"/>
        <w:jc w:val="righ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bl>
      <w:tblPr>
        <w:tblStyle w:val="Table2"/>
        <w:tblW w:w="9546.0" w:type="dxa"/>
        <w:jc w:val="left"/>
        <w:tblInd w:w="648.0" w:type="dxa"/>
        <w:tblLayout w:type="fixed"/>
        <w:tblLook w:val="0000"/>
      </w:tblPr>
      <w:tblGrid>
        <w:gridCol w:w="4863"/>
        <w:gridCol w:w="4683"/>
        <w:tblGridChange w:id="0">
          <w:tblGrid>
            <w:gridCol w:w="4863"/>
            <w:gridCol w:w="4683"/>
          </w:tblGrid>
        </w:tblGridChange>
      </w:tblGrid>
      <w:tr>
        <w:trPr>
          <w:trHeight w:val="1150" w:hRule="atLeast"/>
        </w:trPr>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Продавец: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ООО "</w:t>
            </w:r>
            <w:r w:rsidDel="00000000" w:rsidR="00000000" w:rsidRPr="00000000">
              <w:rPr>
                <w:rFonts w:ascii="Times New Roman" w:cs="Times New Roman" w:eastAsia="Times New Roman" w:hAnsi="Times New Roman"/>
                <w:b w:val="1"/>
                <w:i w:val="0"/>
                <w:smallCaps w:val="0"/>
                <w:strike w:val="0"/>
                <w:color w:val="000000"/>
                <w:sz w:val="18"/>
                <w:szCs w:val="18"/>
                <w:highlight w:val="yellow"/>
                <w:u w:val="none"/>
                <w:vertAlign w:val="baseline"/>
                <w:rtl w:val="0"/>
              </w:rPr>
              <w:t xml:space="preserve">______</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498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98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Покупатель: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«Экологические цифры»</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980"/>
              </w:tabs>
              <w:spacing w:after="0" w:before="0" w:line="240" w:lineRule="auto"/>
              <w:ind w:left="54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__________________________/Ф.В. Игнатьев/</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040"/>
              </w:tabs>
              <w:spacing w:after="0" w:before="0" w:line="240" w:lineRule="auto"/>
              <w:ind w:left="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b w:val="1"/>
          <w:sz w:val="18"/>
          <w:szCs w:val="18"/>
          <w:rtl w:val="0"/>
        </w:rPr>
        <w:t xml:space="preserve">Пр</w:t>
      </w: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иложение № 2</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   к Договору </w:t>
      </w:r>
      <w:r w:rsidDel="00000000" w:rsidR="00000000" w:rsidRPr="00000000">
        <w:rPr>
          <w:b w:val="1"/>
          <w:sz w:val="18"/>
          <w:szCs w:val="18"/>
          <w:rtl w:val="0"/>
        </w:rPr>
        <w:t xml:space="preserve">№____________</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539" w:right="0" w:firstLine="0"/>
        <w:jc w:val="righ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                                     от 25.09.</w:t>
      </w: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2020г</w:t>
      </w: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Образец</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АКТ № ___</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СДАЧИ-ПРИ</w:t>
      </w:r>
      <w:r w:rsidDel="00000000" w:rsidR="00000000" w:rsidRPr="00000000">
        <w:rPr>
          <w:b w:val="1"/>
          <w:sz w:val="18"/>
          <w:szCs w:val="18"/>
          <w:rtl w:val="0"/>
        </w:rPr>
        <w:t xml:space="preserve">е</w:t>
      </w: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МКИ ОТХОДОВ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ЗА __ КВАРТАЛ 2020 г от ______ 2020</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536" w:right="0" w:hanging="4536"/>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Настоящий акт составлен сторонами договора в то,что: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536" w:right="0" w:hanging="4536"/>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Продавец</w:t>
      </w: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 (образователь отходов): ООО «______» (ОБЪЕКТ образования отходов:_______________)  передал отходы, образованные в результате хозяйственной деятельности,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536" w:right="0" w:hanging="4536"/>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на утилизацию, обезвреживание с переходом права собственности</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536" w:right="0" w:hanging="4536"/>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Покупатель</w:t>
      </w: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 (перевозчик) ООО «Экологические цифры» (Лицензия (78)-5040-СТ от 09 января 2018 года. Срок действия бессрочно.)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536" w:right="0" w:hanging="4536"/>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приобрел отходы для транспортирования и передачи на утилизацию.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shd w:fill="auto" w:val="clear"/>
          <w:vertAlign w:val="baseline"/>
          <w:rtl w:val="0"/>
        </w:rPr>
        <w:t xml:space="preserve">Предприятие, принявшее отходы:  ___________________________</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bl>
      <w:tblPr>
        <w:tblStyle w:val="Table3"/>
        <w:tblW w:w="1334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
        <w:gridCol w:w="5169"/>
        <w:gridCol w:w="1521"/>
        <w:gridCol w:w="1051"/>
        <w:gridCol w:w="1276"/>
        <w:gridCol w:w="1701"/>
        <w:gridCol w:w="2268"/>
        <w:tblGridChange w:id="0">
          <w:tblGrid>
            <w:gridCol w:w="359"/>
            <w:gridCol w:w="5169"/>
            <w:gridCol w:w="1521"/>
            <w:gridCol w:w="1051"/>
            <w:gridCol w:w="1276"/>
            <w:gridCol w:w="1701"/>
            <w:gridCol w:w="2268"/>
          </w:tblGrid>
        </w:tblGridChange>
      </w:tblGrid>
      <w:tr>
        <w:trPr>
          <w:trHeight w:val="439" w:hRule="atLeast"/>
        </w:trPr>
        <w:tc>
          <w:tcPr>
            <w:tcBorders>
              <w:bottom w:color="000000" w:space="0" w:sz="4" w:val="single"/>
            </w:tcBorders>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4" w:right="0" w:firstLine="174"/>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p>
        </w:tc>
        <w:tc>
          <w:tcPr>
            <w:tcBorders>
              <w:bottom w:color="000000" w:space="0" w:sz="4" w:val="single"/>
            </w:tcBorders>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Наименование (вид) отходов по ФККО</w:t>
            </w:r>
          </w:p>
        </w:tc>
        <w:tc>
          <w:tcPr>
            <w:tcBorders>
              <w:bottom w:color="000000" w:space="0" w:sz="4" w:val="single"/>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Код по ФККО</w:t>
            </w:r>
          </w:p>
        </w:tc>
        <w:tc>
          <w:tcPr>
            <w:tcBorders>
              <w:bottom w:color="000000" w:space="0" w:sz="4" w:val="single"/>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Класс опасности отхода</w:t>
            </w:r>
          </w:p>
        </w:tc>
        <w:tc>
          <w:tcPr>
            <w:tcBorders>
              <w:bottom w:color="000000" w:space="0" w:sz="4" w:val="single"/>
              <w:right w:color="000000" w:space="0" w:sz="4" w:val="single"/>
            </w:tcBorders>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Агрегатное состояние</w:t>
            </w:r>
          </w:p>
        </w:tc>
        <w:tc>
          <w:tcPr>
            <w:tcBorders>
              <w:left w:color="000000" w:space="0" w:sz="4" w:val="single"/>
              <w:bottom w:color="000000" w:space="0" w:sz="4" w:val="single"/>
            </w:tcBorders>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Цель приёма</w:t>
            </w:r>
          </w:p>
        </w:tc>
        <w:tc>
          <w:tcPr>
            <w:tcBorders>
              <w:bottom w:color="000000" w:space="0" w:sz="4"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Количество отходов принято, т </w:t>
            </w:r>
          </w:p>
        </w:tc>
      </w:tr>
      <w:tr>
        <w:trPr>
          <w:trHeight w:val="398" w:hRule="atLeast"/>
        </w:trPr>
        <w:tc>
          <w:tcPr>
            <w:tcBorders>
              <w:bottom w:color="000000" w:space="0" w:sz="4" w:val="single"/>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1</w:t>
            </w:r>
          </w:p>
        </w:tc>
        <w:tc>
          <w:tcPr>
            <w:tcBorders>
              <w:bottom w:color="000000" w:space="0" w:sz="4" w:val="single"/>
            </w:tcBorders>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Отходы минеральных масел индустриальных</w:t>
            </w:r>
          </w:p>
        </w:tc>
        <w:tc>
          <w:tcPr>
            <w:tcBorders>
              <w:bottom w:color="000000" w:space="0" w:sz="4" w:val="single"/>
            </w:tcBorders>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4 06 130 01 31 3</w:t>
            </w:r>
          </w:p>
        </w:tc>
        <w:tc>
          <w:tcPr>
            <w:tcBorders>
              <w:bottom w:color="000000" w:space="0" w:sz="4" w:val="single"/>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III</w:t>
            </w:r>
          </w:p>
        </w:tc>
        <w:tc>
          <w:tcPr>
            <w:tcBorders>
              <w:bottom w:color="000000" w:space="0" w:sz="4" w:val="single"/>
              <w:right w:color="000000" w:space="0" w:sz="4" w:val="single"/>
            </w:tcBorders>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Жидкое в жидком (эмульсия)</w:t>
            </w:r>
          </w:p>
        </w:tc>
        <w:tc>
          <w:tcPr>
            <w:tcBorders>
              <w:left w:color="000000" w:space="0" w:sz="4" w:val="single"/>
              <w:bottom w:color="000000" w:space="0" w:sz="4" w:val="single"/>
            </w:tcBorders>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Утилизация</w:t>
            </w:r>
          </w:p>
        </w:tc>
        <w:tc>
          <w:tcPr>
            <w:tcBorders>
              <w:bottom w:color="000000" w:space="0" w:sz="4" w:val="single"/>
            </w:tcBorders>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r>
      <w:tr>
        <w:trPr>
          <w:trHeight w:val="272" w:hRule="atLeast"/>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highlight w:val="yellow"/>
                <w:u w:val="single"/>
                <w:vertAlign w:val="baseline"/>
              </w:rPr>
            </w:pP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bl>
      <w:tblPr>
        <w:tblStyle w:val="Table4"/>
        <w:tblW w:w="13433.000000000002" w:type="dxa"/>
        <w:jc w:val="center"/>
        <w:tblLayout w:type="fixed"/>
        <w:tblLook w:val="0000"/>
      </w:tblPr>
      <w:tblGrid>
        <w:gridCol w:w="7762"/>
        <w:gridCol w:w="5671"/>
        <w:tblGridChange w:id="0">
          <w:tblGrid>
            <w:gridCol w:w="7762"/>
            <w:gridCol w:w="5671"/>
          </w:tblGrid>
        </w:tblGridChange>
      </w:tblGrid>
      <w:tr>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Продавец ООО</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"___________"</w:t>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Покупатель «Экологические цифры»</w:t>
            </w:r>
          </w:p>
        </w:tc>
      </w:tr>
      <w:t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Генеральный директор</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______________________/        /</w:t>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Генеральный директор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__________________________/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Предприятие, принявшее отходы:</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Генеральный директор ООО</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 _______»</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______________________  </w:t>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Продавец ООО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single"/>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Покупатель «Экологические цифры»</w:t>
            </w:r>
          </w:p>
        </w:tc>
      </w:tr>
      <w:tr>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Генеральный директор</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2.1259842519685"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______________________/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single"/>
                <w:vertAlign w:val="baseline"/>
                <w:rtl w:val="0"/>
              </w:rPr>
              <w:t xml:space="preserve">____________</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shd w:fill="auto" w:val="clear"/>
                <w:vertAlign w:val="baseline"/>
                <w:rtl w:val="0"/>
              </w:rPr>
              <w:t xml:space="preserve">Генеральный директор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__________________________/Ф.В. Игнатьев/</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0" w:before="0" w:line="240" w:lineRule="auto"/>
        <w:ind w:left="360" w:right="899" w:hanging="360"/>
        <w:jc w:val="left"/>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tl w:val="0"/>
        </w:rPr>
      </w:r>
    </w:p>
    <w:sectPr>
      <w:pgSz w:h="16838" w:w="11906" w:orient="portrait"/>
      <w:pgMar w:bottom="539" w:top="720" w:left="720" w:right="38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50" w:hanging="450"/>
      </w:pPr>
      <w:rPr>
        <w:vertAlign w:val="baseline"/>
      </w:rPr>
    </w:lvl>
    <w:lvl w:ilvl="1">
      <w:start w:val="1"/>
      <w:numFmt w:val="decimal"/>
      <w:lvlText w:val="2.%2."/>
      <w:lvlJc w:val="left"/>
      <w:pPr>
        <w:ind w:left="450" w:hanging="450"/>
      </w:pPr>
      <w:rPr>
        <w:b w:val="1"/>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decimal"/>
      <w:lvlText w:val="%1."/>
      <w:lvlJc w:val="left"/>
      <w:pPr>
        <w:ind w:left="450" w:hanging="450"/>
      </w:pPr>
      <w:rPr>
        <w:vertAlign w:val="baseline"/>
      </w:rPr>
    </w:lvl>
    <w:lvl w:ilvl="1">
      <w:start w:val="1"/>
      <w:numFmt w:val="decimal"/>
      <w:lvlText w:val="3.%2."/>
      <w:lvlJc w:val="left"/>
      <w:pPr>
        <w:ind w:left="450" w:hanging="450"/>
      </w:pPr>
      <w:rPr>
        <w:b w:val="1"/>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decimal"/>
      <w:lvlText w:val="6.%1."/>
      <w:lvlJc w:val="left"/>
      <w:pPr>
        <w:ind w:left="990" w:hanging="450"/>
      </w:pPr>
      <w:rPr>
        <w:b w:val="1"/>
        <w:vertAlign w:val="baseline"/>
      </w:rPr>
    </w:lvl>
    <w:lvl w:ilvl="1">
      <w:start w:val="1"/>
      <w:numFmt w:val="decimal"/>
      <w:lvlText w:val="8.%2."/>
      <w:lvlJc w:val="left"/>
      <w:pPr>
        <w:ind w:left="450" w:hanging="450"/>
      </w:pPr>
      <w:rPr>
        <w:b w:val="1"/>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4"/>
      <w:numFmt w:val="decimal"/>
      <w:lvlText w:val="%1."/>
      <w:lvlJc w:val="left"/>
      <w:pPr>
        <w:ind w:left="450" w:hanging="450"/>
      </w:pPr>
      <w:rPr>
        <w:vertAlign w:val="baseline"/>
      </w:rPr>
    </w:lvl>
    <w:lvl w:ilvl="1">
      <w:start w:val="1"/>
      <w:numFmt w:val="decimal"/>
      <w:lvlText w:val="3.%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1"/>
      <w:numFmt w:val="decimal"/>
      <w:lvlText w:val="%1."/>
      <w:lvlJc w:val="left"/>
      <w:pPr>
        <w:ind w:left="450" w:hanging="450"/>
      </w:pPr>
      <w:rPr>
        <w:vertAlign w:val="baseline"/>
      </w:rPr>
    </w:lvl>
    <w:lvl w:ilvl="1">
      <w:start w:val="1"/>
      <w:numFmt w:val="decimal"/>
      <w:lvlText w:val="2.%2."/>
      <w:lvlJc w:val="left"/>
      <w:pPr>
        <w:ind w:left="450" w:hanging="45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lvl w:ilvl="0">
      <w:start w:val="8"/>
      <w:numFmt w:val="decimal"/>
      <w:lvlText w:val="%1."/>
      <w:lvlJc w:val="left"/>
      <w:pPr>
        <w:ind w:left="360" w:hanging="360"/>
      </w:pPr>
      <w:rPr>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lvl w:ilvl="0">
      <w:start w:val="1"/>
      <w:numFmt w:val="decimal"/>
      <w:lvlText w:val="%1."/>
      <w:lvlJc w:val="left"/>
      <w:pPr>
        <w:ind w:left="450" w:hanging="450"/>
      </w:pPr>
      <w:rPr>
        <w:b w:val="1"/>
        <w:sz w:val="18"/>
        <w:szCs w:val="18"/>
        <w:vertAlign w:val="baseline"/>
      </w:rPr>
    </w:lvl>
    <w:lvl w:ilvl="1">
      <w:start w:val="1"/>
      <w:numFmt w:val="decimal"/>
      <w:lvlText w:val="7.%2."/>
      <w:lvlJc w:val="left"/>
      <w:pPr>
        <w:ind w:left="450" w:hanging="450"/>
      </w:pPr>
      <w:rPr>
        <w:b w:val="1"/>
        <w:color w:val="000000"/>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720" w:hanging="72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080" w:hanging="108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440" w:hanging="1440"/>
      </w:pPr>
      <w:rPr>
        <w:b w:val="1"/>
        <w:vertAlign w:val="baseline"/>
      </w:rPr>
    </w:lvl>
    <w:lvl w:ilvl="8">
      <w:start w:val="1"/>
      <w:numFmt w:val="decimal"/>
      <w:lvlText w:val="%1.%2.%3.%4.%5.%6.%7.%8.%9."/>
      <w:lvlJc w:val="left"/>
      <w:pPr>
        <w:ind w:left="1800" w:hanging="1800"/>
      </w:pPr>
      <w:rPr>
        <w:b w:val="1"/>
        <w:vertAlign w:val="baseline"/>
      </w:rPr>
    </w:lvl>
  </w:abstractNum>
  <w:abstractNum w:abstractNumId="8">
    <w:lvl w:ilvl="0">
      <w:start w:val="3"/>
      <w:numFmt w:val="decimal"/>
      <w:lvlText w:val="%1."/>
      <w:lvlJc w:val="left"/>
      <w:pPr>
        <w:ind w:left="495" w:hanging="495"/>
      </w:pPr>
      <w:rPr>
        <w:vertAlign w:val="baseline"/>
      </w:rPr>
    </w:lvl>
    <w:lvl w:ilvl="1">
      <w:start w:val="1"/>
      <w:numFmt w:val="decimal"/>
      <w:lvlText w:val="5.%2."/>
      <w:lvlJc w:val="left"/>
      <w:pPr>
        <w:ind w:left="1275" w:hanging="495"/>
      </w:pPr>
      <w:rPr>
        <w:b w:val="1"/>
        <w:vertAlign w:val="baseline"/>
      </w:rPr>
    </w:lvl>
    <w:lvl w:ilvl="2">
      <w:start w:val="1"/>
      <w:numFmt w:val="decimal"/>
      <w:lvlText w:val="%1.%2.%3."/>
      <w:lvlJc w:val="left"/>
      <w:pPr>
        <w:ind w:left="2280" w:hanging="720"/>
      </w:pPr>
      <w:rPr>
        <w:vertAlign w:val="baseline"/>
      </w:rPr>
    </w:lvl>
    <w:lvl w:ilvl="3">
      <w:start w:val="1"/>
      <w:numFmt w:val="decimal"/>
      <w:lvlText w:val="%1.%2.%3.%4."/>
      <w:lvlJc w:val="left"/>
      <w:pPr>
        <w:ind w:left="3060" w:hanging="720"/>
      </w:pPr>
      <w:rPr>
        <w:vertAlign w:val="baseline"/>
      </w:rPr>
    </w:lvl>
    <w:lvl w:ilvl="4">
      <w:start w:val="1"/>
      <w:numFmt w:val="decimal"/>
      <w:lvlText w:val="%1.%2.%3.%4.%5."/>
      <w:lvlJc w:val="left"/>
      <w:pPr>
        <w:ind w:left="4200" w:hanging="1080"/>
      </w:pPr>
      <w:rPr>
        <w:vertAlign w:val="baseline"/>
      </w:rPr>
    </w:lvl>
    <w:lvl w:ilvl="5">
      <w:start w:val="1"/>
      <w:numFmt w:val="decimal"/>
      <w:lvlText w:val="%1.%2.%3.%4.%5.%6."/>
      <w:lvlJc w:val="left"/>
      <w:pPr>
        <w:ind w:left="4980" w:hanging="1080"/>
      </w:pPr>
      <w:rPr>
        <w:vertAlign w:val="baseline"/>
      </w:rPr>
    </w:lvl>
    <w:lvl w:ilvl="6">
      <w:start w:val="1"/>
      <w:numFmt w:val="decimal"/>
      <w:lvlText w:val="%1.%2.%3.%4.%5.%6.%7."/>
      <w:lvlJc w:val="left"/>
      <w:pPr>
        <w:ind w:left="6120" w:hanging="1440"/>
      </w:pPr>
      <w:rPr>
        <w:vertAlign w:val="baseline"/>
      </w:rPr>
    </w:lvl>
    <w:lvl w:ilvl="7">
      <w:start w:val="1"/>
      <w:numFmt w:val="decimal"/>
      <w:lvlText w:val="%1.%2.%3.%4.%5.%6.%7.%8."/>
      <w:lvlJc w:val="left"/>
      <w:pPr>
        <w:ind w:left="6900" w:hanging="1440"/>
      </w:pPr>
      <w:rPr>
        <w:vertAlign w:val="baseline"/>
      </w:rPr>
    </w:lvl>
    <w:lvl w:ilvl="8">
      <w:start w:val="1"/>
      <w:numFmt w:val="decimal"/>
      <w:lvlText w:val="%1.%2.%3.%4.%5.%6.%7.%8.%9."/>
      <w:lvlJc w:val="left"/>
      <w:pPr>
        <w:ind w:left="8040" w:hanging="1800"/>
      </w:pPr>
      <w:rPr>
        <w:vertAlign w:val="baseline"/>
      </w:rPr>
    </w:lvl>
  </w:abstractNum>
  <w:abstractNum w:abstractNumId="9">
    <w:lvl w:ilvl="0">
      <w:start w:val="1"/>
      <w:numFmt w:val="decimal"/>
      <w:lvlText w:val="%1."/>
      <w:lvlJc w:val="left"/>
      <w:pPr>
        <w:ind w:left="450" w:hanging="450"/>
      </w:pPr>
      <w:rPr>
        <w:vertAlign w:val="baseline"/>
      </w:rPr>
    </w:lvl>
    <w:lvl w:ilvl="1">
      <w:start w:val="1"/>
      <w:numFmt w:val="decimal"/>
      <w:lvlText w:val="1.%2."/>
      <w:lvlJc w:val="left"/>
      <w:pPr>
        <w:ind w:left="450" w:hanging="45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2"/>
      <w:numFmt w:val="decimal"/>
      <w:lvlText w:val="%5.4.1"/>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8"/>
      <w:szCs w:val="28"/>
      <w:u w:val="single"/>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color w:val="000000"/>
      <w:w w:val="100"/>
      <w:position w:val="-1"/>
      <w:sz w:val="16"/>
      <w:szCs w:val="16"/>
      <w:u w:val="single"/>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jc w:val="both"/>
      <w:textDirection w:val="btLr"/>
      <w:textAlignment w:val="top"/>
      <w:outlineLvl w:val="0"/>
    </w:pPr>
    <w:rPr>
      <w:color w:val="auto"/>
      <w:w w:val="100"/>
      <w:position w:val="-1"/>
      <w:sz w:val="24"/>
      <w:szCs w:val="20"/>
      <w:u w:val="none"/>
      <w:effect w:val="none"/>
      <w:vertAlign w:val="baseline"/>
      <w:cs w:val="0"/>
      <w:em w:val="none"/>
      <w:lang w:bidi="ar-SA" w:eastAsia="ru-RU" w:val="ru-RU"/>
    </w:rPr>
  </w:style>
  <w:style w:type="paragraph" w:styleId="ConsNormal">
    <w:name w:val="ConsNormal"/>
    <w:next w:val="ConsNormal"/>
    <w:autoRedefine w:val="0"/>
    <w:hidden w:val="0"/>
    <w:qFormat w:val="0"/>
    <w:pPr>
      <w:suppressAutoHyphens w:val="1"/>
      <w:autoSpaceDE w:val="0"/>
      <w:autoSpaceDN w:val="0"/>
      <w:adjustRightInd w:val="0"/>
      <w:spacing w:line="1" w:lineRule="atLeast"/>
      <w:ind w:right="19772" w:leftChars="-1" w:rightChars="0" w:firstLine="72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paragraph" w:styleId="ConsNonformat">
    <w:name w:val="ConsNonformat"/>
    <w:next w:val="ConsNonforma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name w:val="ConsPlusNormal"/>
    <w:next w:val="ConsPlus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ru-RU" w:val="ru-RU"/>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0"/>
      <w:szCs w:val="20"/>
      <w:u w:val="single"/>
      <w:effect w:val="none"/>
      <w:vertAlign w:val="baseline"/>
      <w:cs w:val="0"/>
      <w:em w:val="none"/>
      <w:lang w:bidi="ar-SA" w:eastAsia="und" w:val="und"/>
    </w:rPr>
  </w:style>
  <w:style w:type="character" w:styleId="ТекстпримечанияЗнак">
    <w:name w:val="Текст примечания Знак"/>
    <w:next w:val="ТекстпримечанияЗнак"/>
    <w:autoRedefine w:val="0"/>
    <w:hidden w:val="0"/>
    <w:qFormat w:val="0"/>
    <w:rPr>
      <w:color w:val="000000"/>
      <w:w w:val="100"/>
      <w:position w:val="-1"/>
      <w:u w:val="single"/>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color w:val="000000"/>
      <w:w w:val="100"/>
      <w:position w:val="-1"/>
      <w:sz w:val="20"/>
      <w:szCs w:val="20"/>
      <w:u w:val="single"/>
      <w:effect w:val="none"/>
      <w:vertAlign w:val="baseline"/>
      <w:cs w:val="0"/>
      <w:em w:val="none"/>
      <w:lang w:bidi="ar-SA" w:eastAsia="und" w:val="und"/>
    </w:rPr>
  </w:style>
  <w:style w:type="character" w:styleId="ТемапримечанияЗнак">
    <w:name w:val="Тема примечания Знак"/>
    <w:next w:val="ТемапримечанияЗнак"/>
    <w:autoRedefine w:val="0"/>
    <w:hidden w:val="0"/>
    <w:qFormat w:val="0"/>
    <w:rPr>
      <w:b w:val="1"/>
      <w:bCs w:val="1"/>
      <w:color w:val="000000"/>
      <w:w w:val="100"/>
      <w:position w:val="-1"/>
      <w:u w:val="single"/>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color w:val="000000"/>
      <w:w w:val="100"/>
      <w:position w:val="-1"/>
      <w:sz w:val="28"/>
      <w:szCs w:val="28"/>
      <w:u w:val="single"/>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color w:val="000000"/>
      <w:w w:val="100"/>
      <w:position w:val="-1"/>
      <w:sz w:val="28"/>
      <w:szCs w:val="28"/>
      <w:u w:val="single"/>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color w:val="000000"/>
      <w:w w:val="100"/>
      <w:position w:val="-1"/>
      <w:sz w:val="28"/>
      <w:szCs w:val="28"/>
      <w:u w:val="single"/>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color w:val="000000"/>
      <w:w w:val="100"/>
      <w:position w:val="-1"/>
      <w:sz w:val="28"/>
      <w:szCs w:val="28"/>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othodopase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4tby+OMVwZVBcNsUNIUuKa7aw==">AMUW2mWz1Xlf3LE5FPQ0bx8Mc4aUi2jM5+oBsq1GPAoT2jwqszaSHPIPecUueGIIEHXqbaPUpGa8kmP62gZkZ6s7L9JRNX15FgWPYCRl+i8R8bGqdfz06Cw=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2020-11-22T14:43:00Z</dcterms:created>
  <dc:creator>1</dc:creator>
</cp:coreProperties>
</file>

<file path=docProps/custom.xml><?xml version="1.0" encoding="utf-8"?>
<Properties xmlns="http://schemas.openxmlformats.org/officeDocument/2006/custom-properties" xmlns:vt="http://schemas.openxmlformats.org/officeDocument/2006/docPropsVTypes"/>
</file>